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6D70BA" w14:textId="11B80A72" w:rsidR="00FC7036" w:rsidRDefault="00361165">
      <w:r>
        <w:rPr>
          <w:noProof/>
        </w:rPr>
        <w:drawing>
          <wp:inline distT="0" distB="0" distL="0" distR="0" wp14:anchorId="49B67EE1" wp14:editId="792E5CF8">
            <wp:extent cx="10096500" cy="7808607"/>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135627" cy="7838868"/>
                    </a:xfrm>
                    <a:prstGeom prst="rect">
                      <a:avLst/>
                    </a:prstGeom>
                    <a:noFill/>
                    <a:ln>
                      <a:noFill/>
                    </a:ln>
                  </pic:spPr>
                </pic:pic>
              </a:graphicData>
            </a:graphic>
          </wp:inline>
        </w:drawing>
      </w:r>
    </w:p>
    <w:p w14:paraId="3B3B9D03" w14:textId="77D85C90" w:rsidR="00FC7036" w:rsidRDefault="00FC7036" w:rsidP="0020181B">
      <w:pPr>
        <w:rPr>
          <w:rFonts w:ascii="&amp;quot" w:hAnsi="&amp;quot"/>
          <w:color w:val="645C55"/>
          <w:sz w:val="30"/>
          <w:szCs w:val="30"/>
        </w:rPr>
      </w:pPr>
      <w:r>
        <w:rPr>
          <w:rFonts w:ascii="&amp;quot" w:hAnsi="&amp;quot"/>
          <w:noProof/>
          <w:color w:val="645C55"/>
          <w:sz w:val="30"/>
          <w:szCs w:val="30"/>
        </w:rPr>
        <w:lastRenderedPageBreak/>
        <w:drawing>
          <wp:inline distT="0" distB="0" distL="0" distR="0" wp14:anchorId="737DC6AC" wp14:editId="448DD9BA">
            <wp:extent cx="8572500" cy="5057775"/>
            <wp:effectExtent l="0" t="0" r="0" b="9525"/>
            <wp:docPr id="2" name="Picture 2" descr="Bible translations shown in the top half of the chart are original translations directly from ancient languages to English. Versions shown below the line began with the English text of another Bible transl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ble translations shown in the top half of the chart are original translations directly from ancient languages to English. Versions shown below the line began with the English text of another Bible translati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00" cy="5057775"/>
                    </a:xfrm>
                    <a:prstGeom prst="rect">
                      <a:avLst/>
                    </a:prstGeom>
                    <a:noFill/>
                    <a:ln>
                      <a:noFill/>
                    </a:ln>
                  </pic:spPr>
                </pic:pic>
              </a:graphicData>
            </a:graphic>
          </wp:inline>
        </w:drawing>
      </w:r>
    </w:p>
    <w:p w14:paraId="39101385" w14:textId="082C7A5E" w:rsidR="0020181B" w:rsidRDefault="0020181B" w:rsidP="00FC7036">
      <w:pPr>
        <w:pStyle w:val="NormalWeb"/>
        <w:spacing w:before="0" w:beforeAutospacing="0" w:after="450" w:afterAutospacing="0" w:line="336" w:lineRule="atLeast"/>
        <w:rPr>
          <w:rFonts w:ascii="&amp;quot" w:hAnsi="&amp;quot"/>
          <w:color w:val="645C55"/>
          <w:sz w:val="30"/>
          <w:szCs w:val="30"/>
        </w:rPr>
      </w:pPr>
    </w:p>
    <w:p w14:paraId="2D5F2883" w14:textId="36A2048E" w:rsidR="00595DA7" w:rsidRDefault="00595DA7" w:rsidP="00FC7036">
      <w:pPr>
        <w:pStyle w:val="NormalWeb"/>
        <w:spacing w:before="0" w:beforeAutospacing="0" w:after="450" w:afterAutospacing="0" w:line="336" w:lineRule="atLeast"/>
        <w:rPr>
          <w:rFonts w:ascii="&amp;quot" w:hAnsi="&amp;quot"/>
          <w:color w:val="645C55"/>
          <w:sz w:val="30"/>
          <w:szCs w:val="30"/>
        </w:rPr>
      </w:pPr>
    </w:p>
    <w:p w14:paraId="009582B2" w14:textId="77777777" w:rsidR="00595DA7" w:rsidRDefault="00595DA7" w:rsidP="00FC7036">
      <w:pPr>
        <w:pStyle w:val="NormalWeb"/>
        <w:spacing w:before="0" w:beforeAutospacing="0" w:after="450" w:afterAutospacing="0" w:line="336" w:lineRule="atLeast"/>
        <w:rPr>
          <w:rFonts w:ascii="&amp;quot" w:hAnsi="&amp;quot"/>
          <w:color w:val="645C55"/>
          <w:sz w:val="30"/>
          <w:szCs w:val="30"/>
        </w:rPr>
      </w:pPr>
      <w:bookmarkStart w:id="0" w:name="_GoBack"/>
      <w:bookmarkEnd w:id="0"/>
    </w:p>
    <w:p w14:paraId="28F30A01" w14:textId="77777777" w:rsidR="0020181B" w:rsidRDefault="0020181B" w:rsidP="00FC7036">
      <w:pPr>
        <w:pStyle w:val="NormalWeb"/>
        <w:spacing w:before="0" w:beforeAutospacing="0" w:after="450" w:afterAutospacing="0" w:line="336" w:lineRule="atLeast"/>
        <w:rPr>
          <w:rFonts w:ascii="&amp;quot" w:hAnsi="&amp;quot"/>
          <w:color w:val="645C55"/>
          <w:sz w:val="30"/>
          <w:szCs w:val="30"/>
        </w:rPr>
      </w:pPr>
    </w:p>
    <w:tbl>
      <w:tblPr>
        <w:tblW w:w="13200" w:type="dxa"/>
        <w:tblCellMar>
          <w:left w:w="0" w:type="dxa"/>
          <w:right w:w="0" w:type="dxa"/>
        </w:tblCellMar>
        <w:tblLook w:val="0600" w:firstRow="0" w:lastRow="0" w:firstColumn="0" w:lastColumn="0" w:noHBand="1" w:noVBand="1"/>
      </w:tblPr>
      <w:tblGrid>
        <w:gridCol w:w="7900"/>
        <w:gridCol w:w="5300"/>
      </w:tblGrid>
      <w:tr w:rsidR="0020181B" w:rsidRPr="0020181B" w14:paraId="1CD6E43A" w14:textId="77777777" w:rsidTr="0020181B">
        <w:trPr>
          <w:trHeight w:val="783"/>
        </w:trPr>
        <w:tc>
          <w:tcPr>
            <w:tcW w:w="7900" w:type="dxa"/>
            <w:tcBorders>
              <w:top w:val="single" w:sz="18" w:space="0" w:color="000000"/>
              <w:left w:val="single" w:sz="18" w:space="0" w:color="000000"/>
              <w:bottom w:val="single" w:sz="8" w:space="0" w:color="000000"/>
              <w:right w:val="single" w:sz="8" w:space="0" w:color="000000"/>
            </w:tcBorders>
            <w:shd w:val="clear" w:color="auto" w:fill="auto"/>
            <w:tcMar>
              <w:top w:w="73" w:type="dxa"/>
              <w:left w:w="145" w:type="dxa"/>
              <w:bottom w:w="73" w:type="dxa"/>
              <w:right w:w="145" w:type="dxa"/>
            </w:tcMar>
            <w:hideMark/>
          </w:tcPr>
          <w:p w14:paraId="5CD48BEA" w14:textId="77777777" w:rsidR="0020181B" w:rsidRPr="0020181B" w:rsidRDefault="0020181B" w:rsidP="0020181B">
            <w:pPr>
              <w:jc w:val="center"/>
              <w:rPr>
                <w:sz w:val="40"/>
                <w:szCs w:val="40"/>
              </w:rPr>
            </w:pPr>
            <w:r w:rsidRPr="0020181B">
              <w:rPr>
                <w:b/>
                <w:bCs/>
                <w:i/>
                <w:iCs/>
                <w:sz w:val="40"/>
                <w:szCs w:val="40"/>
              </w:rPr>
              <w:t>Translation</w:t>
            </w:r>
          </w:p>
        </w:tc>
        <w:tc>
          <w:tcPr>
            <w:tcW w:w="5300" w:type="dxa"/>
            <w:tcBorders>
              <w:top w:val="single" w:sz="18" w:space="0" w:color="000000"/>
              <w:left w:val="single" w:sz="8" w:space="0" w:color="000000"/>
              <w:bottom w:val="single" w:sz="8" w:space="0" w:color="000000"/>
              <w:right w:val="single" w:sz="18" w:space="0" w:color="000000"/>
            </w:tcBorders>
            <w:shd w:val="clear" w:color="auto" w:fill="auto"/>
            <w:tcMar>
              <w:top w:w="73" w:type="dxa"/>
              <w:left w:w="145" w:type="dxa"/>
              <w:bottom w:w="73" w:type="dxa"/>
              <w:right w:w="145" w:type="dxa"/>
            </w:tcMar>
            <w:hideMark/>
          </w:tcPr>
          <w:p w14:paraId="61087755" w14:textId="77777777" w:rsidR="0020181B" w:rsidRPr="0020181B" w:rsidRDefault="0020181B" w:rsidP="0020181B">
            <w:pPr>
              <w:jc w:val="center"/>
              <w:rPr>
                <w:sz w:val="40"/>
                <w:szCs w:val="40"/>
              </w:rPr>
            </w:pPr>
            <w:r w:rsidRPr="0020181B">
              <w:rPr>
                <w:b/>
                <w:bCs/>
                <w:i/>
                <w:iCs/>
                <w:sz w:val="40"/>
                <w:szCs w:val="40"/>
              </w:rPr>
              <w:t>Reading Level</w:t>
            </w:r>
          </w:p>
        </w:tc>
      </w:tr>
      <w:tr w:rsidR="0020181B" w:rsidRPr="0020181B" w14:paraId="63807646" w14:textId="77777777" w:rsidTr="0020181B">
        <w:trPr>
          <w:trHeight w:val="828"/>
        </w:trPr>
        <w:tc>
          <w:tcPr>
            <w:tcW w:w="7900" w:type="dxa"/>
            <w:tcBorders>
              <w:top w:val="single" w:sz="8" w:space="0" w:color="000000"/>
              <w:left w:val="single" w:sz="18" w:space="0" w:color="000000"/>
              <w:bottom w:val="single" w:sz="8" w:space="0" w:color="000000"/>
              <w:right w:val="single" w:sz="8" w:space="0" w:color="000000"/>
            </w:tcBorders>
            <w:shd w:val="clear" w:color="auto" w:fill="auto"/>
            <w:tcMar>
              <w:top w:w="73" w:type="dxa"/>
              <w:left w:w="145" w:type="dxa"/>
              <w:bottom w:w="73" w:type="dxa"/>
              <w:right w:w="145" w:type="dxa"/>
            </w:tcMar>
            <w:hideMark/>
          </w:tcPr>
          <w:p w14:paraId="7AFE5192" w14:textId="77777777" w:rsidR="0020181B" w:rsidRPr="0020181B" w:rsidRDefault="0020181B" w:rsidP="0020181B">
            <w:pPr>
              <w:jc w:val="center"/>
              <w:rPr>
                <w:sz w:val="40"/>
                <w:szCs w:val="40"/>
              </w:rPr>
            </w:pPr>
            <w:r w:rsidRPr="0020181B">
              <w:rPr>
                <w:b/>
                <w:bCs/>
                <w:i/>
                <w:iCs/>
                <w:sz w:val="40"/>
                <w:szCs w:val="40"/>
              </w:rPr>
              <w:t>King James</w:t>
            </w:r>
          </w:p>
        </w:tc>
        <w:tc>
          <w:tcPr>
            <w:tcW w:w="5300" w:type="dxa"/>
            <w:tcBorders>
              <w:top w:val="single" w:sz="8" w:space="0" w:color="000000"/>
              <w:left w:val="single" w:sz="8" w:space="0" w:color="000000"/>
              <w:bottom w:val="single" w:sz="8" w:space="0" w:color="000000"/>
              <w:right w:val="single" w:sz="18" w:space="0" w:color="000000"/>
            </w:tcBorders>
            <w:shd w:val="clear" w:color="auto" w:fill="auto"/>
            <w:tcMar>
              <w:top w:w="73" w:type="dxa"/>
              <w:left w:w="145" w:type="dxa"/>
              <w:bottom w:w="73" w:type="dxa"/>
              <w:right w:w="145" w:type="dxa"/>
            </w:tcMar>
            <w:hideMark/>
          </w:tcPr>
          <w:p w14:paraId="098C3957" w14:textId="77777777" w:rsidR="0020181B" w:rsidRPr="0020181B" w:rsidRDefault="0020181B" w:rsidP="0020181B">
            <w:pPr>
              <w:jc w:val="center"/>
              <w:rPr>
                <w:sz w:val="40"/>
                <w:szCs w:val="40"/>
              </w:rPr>
            </w:pPr>
            <w:r w:rsidRPr="0020181B">
              <w:rPr>
                <w:b/>
                <w:bCs/>
                <w:i/>
                <w:iCs/>
                <w:sz w:val="40"/>
                <w:szCs w:val="40"/>
              </w:rPr>
              <w:t>12</w:t>
            </w:r>
          </w:p>
        </w:tc>
      </w:tr>
      <w:tr w:rsidR="0020181B" w:rsidRPr="0020181B" w14:paraId="5CD0695D" w14:textId="77777777" w:rsidTr="0020181B">
        <w:trPr>
          <w:trHeight w:val="760"/>
        </w:trPr>
        <w:tc>
          <w:tcPr>
            <w:tcW w:w="7900" w:type="dxa"/>
            <w:tcBorders>
              <w:top w:val="single" w:sz="8" w:space="0" w:color="000000"/>
              <w:left w:val="single" w:sz="18" w:space="0" w:color="000000"/>
              <w:bottom w:val="single" w:sz="8" w:space="0" w:color="000000"/>
              <w:right w:val="single" w:sz="8" w:space="0" w:color="000000"/>
            </w:tcBorders>
            <w:shd w:val="clear" w:color="auto" w:fill="auto"/>
            <w:tcMar>
              <w:top w:w="73" w:type="dxa"/>
              <w:left w:w="145" w:type="dxa"/>
              <w:bottom w:w="73" w:type="dxa"/>
              <w:right w:w="145" w:type="dxa"/>
            </w:tcMar>
            <w:hideMark/>
          </w:tcPr>
          <w:p w14:paraId="52465A0F" w14:textId="77777777" w:rsidR="0020181B" w:rsidRPr="0020181B" w:rsidRDefault="0020181B" w:rsidP="0020181B">
            <w:pPr>
              <w:jc w:val="center"/>
              <w:rPr>
                <w:sz w:val="40"/>
                <w:szCs w:val="40"/>
              </w:rPr>
            </w:pPr>
            <w:r w:rsidRPr="0020181B">
              <w:rPr>
                <w:b/>
                <w:bCs/>
                <w:i/>
                <w:iCs/>
                <w:sz w:val="40"/>
                <w:szCs w:val="40"/>
              </w:rPr>
              <w:t>New American</w:t>
            </w:r>
          </w:p>
        </w:tc>
        <w:tc>
          <w:tcPr>
            <w:tcW w:w="5300" w:type="dxa"/>
            <w:tcBorders>
              <w:top w:val="single" w:sz="8" w:space="0" w:color="000000"/>
              <w:left w:val="single" w:sz="8" w:space="0" w:color="000000"/>
              <w:bottom w:val="single" w:sz="8" w:space="0" w:color="000000"/>
              <w:right w:val="single" w:sz="18" w:space="0" w:color="000000"/>
            </w:tcBorders>
            <w:shd w:val="clear" w:color="auto" w:fill="auto"/>
            <w:tcMar>
              <w:top w:w="73" w:type="dxa"/>
              <w:left w:w="145" w:type="dxa"/>
              <w:bottom w:w="73" w:type="dxa"/>
              <w:right w:w="145" w:type="dxa"/>
            </w:tcMar>
            <w:hideMark/>
          </w:tcPr>
          <w:p w14:paraId="6FF9CA3D" w14:textId="77777777" w:rsidR="0020181B" w:rsidRPr="0020181B" w:rsidRDefault="0020181B" w:rsidP="0020181B">
            <w:pPr>
              <w:jc w:val="center"/>
              <w:rPr>
                <w:sz w:val="40"/>
                <w:szCs w:val="40"/>
              </w:rPr>
            </w:pPr>
            <w:r w:rsidRPr="0020181B">
              <w:rPr>
                <w:b/>
                <w:bCs/>
                <w:i/>
                <w:iCs/>
                <w:sz w:val="40"/>
                <w:szCs w:val="40"/>
              </w:rPr>
              <w:t>10</w:t>
            </w:r>
          </w:p>
        </w:tc>
      </w:tr>
      <w:tr w:rsidR="0020181B" w:rsidRPr="0020181B" w14:paraId="2D8244F3" w14:textId="77777777" w:rsidTr="0020181B">
        <w:trPr>
          <w:trHeight w:val="805"/>
        </w:trPr>
        <w:tc>
          <w:tcPr>
            <w:tcW w:w="7900" w:type="dxa"/>
            <w:tcBorders>
              <w:top w:val="single" w:sz="8" w:space="0" w:color="000000"/>
              <w:left w:val="single" w:sz="18" w:space="0" w:color="000000"/>
              <w:bottom w:val="single" w:sz="8" w:space="0" w:color="000000"/>
              <w:right w:val="single" w:sz="8" w:space="0" w:color="000000"/>
            </w:tcBorders>
            <w:shd w:val="clear" w:color="auto" w:fill="auto"/>
            <w:tcMar>
              <w:top w:w="73" w:type="dxa"/>
              <w:left w:w="145" w:type="dxa"/>
              <w:bottom w:w="73" w:type="dxa"/>
              <w:right w:w="145" w:type="dxa"/>
            </w:tcMar>
            <w:hideMark/>
          </w:tcPr>
          <w:p w14:paraId="42670182" w14:textId="77777777" w:rsidR="0020181B" w:rsidRPr="0020181B" w:rsidRDefault="0020181B" w:rsidP="0020181B">
            <w:pPr>
              <w:jc w:val="center"/>
              <w:rPr>
                <w:sz w:val="40"/>
                <w:szCs w:val="40"/>
              </w:rPr>
            </w:pPr>
            <w:r w:rsidRPr="0020181B">
              <w:rPr>
                <w:b/>
                <w:bCs/>
                <w:i/>
                <w:iCs/>
                <w:sz w:val="40"/>
                <w:szCs w:val="40"/>
              </w:rPr>
              <w:t>New King James</w:t>
            </w:r>
          </w:p>
        </w:tc>
        <w:tc>
          <w:tcPr>
            <w:tcW w:w="5300" w:type="dxa"/>
            <w:tcBorders>
              <w:top w:val="single" w:sz="8" w:space="0" w:color="000000"/>
              <w:left w:val="single" w:sz="8" w:space="0" w:color="000000"/>
              <w:bottom w:val="single" w:sz="8" w:space="0" w:color="000000"/>
              <w:right w:val="single" w:sz="18" w:space="0" w:color="000000"/>
            </w:tcBorders>
            <w:shd w:val="clear" w:color="auto" w:fill="auto"/>
            <w:tcMar>
              <w:top w:w="73" w:type="dxa"/>
              <w:left w:w="145" w:type="dxa"/>
              <w:bottom w:w="73" w:type="dxa"/>
              <w:right w:w="145" w:type="dxa"/>
            </w:tcMar>
            <w:hideMark/>
          </w:tcPr>
          <w:p w14:paraId="04B1A136" w14:textId="77777777" w:rsidR="0020181B" w:rsidRPr="0020181B" w:rsidRDefault="0020181B" w:rsidP="0020181B">
            <w:pPr>
              <w:jc w:val="center"/>
              <w:rPr>
                <w:sz w:val="40"/>
                <w:szCs w:val="40"/>
              </w:rPr>
            </w:pPr>
            <w:r w:rsidRPr="0020181B">
              <w:rPr>
                <w:b/>
                <w:bCs/>
                <w:i/>
                <w:iCs/>
                <w:sz w:val="40"/>
                <w:szCs w:val="40"/>
              </w:rPr>
              <w:t>7</w:t>
            </w:r>
          </w:p>
        </w:tc>
      </w:tr>
      <w:tr w:rsidR="0020181B" w:rsidRPr="0020181B" w14:paraId="034E3BA2" w14:textId="77777777" w:rsidTr="0020181B">
        <w:trPr>
          <w:trHeight w:val="850"/>
        </w:trPr>
        <w:tc>
          <w:tcPr>
            <w:tcW w:w="7900" w:type="dxa"/>
            <w:tcBorders>
              <w:top w:val="single" w:sz="8" w:space="0" w:color="000000"/>
              <w:left w:val="single" w:sz="18" w:space="0" w:color="000000"/>
              <w:bottom w:val="single" w:sz="8" w:space="0" w:color="000000"/>
              <w:right w:val="single" w:sz="8" w:space="0" w:color="000000"/>
            </w:tcBorders>
            <w:shd w:val="clear" w:color="auto" w:fill="auto"/>
            <w:tcMar>
              <w:top w:w="73" w:type="dxa"/>
              <w:left w:w="145" w:type="dxa"/>
              <w:bottom w:w="73" w:type="dxa"/>
              <w:right w:w="145" w:type="dxa"/>
            </w:tcMar>
            <w:hideMark/>
          </w:tcPr>
          <w:p w14:paraId="799BD7D2" w14:textId="77777777" w:rsidR="0020181B" w:rsidRPr="0020181B" w:rsidRDefault="0020181B" w:rsidP="0020181B">
            <w:pPr>
              <w:jc w:val="center"/>
              <w:rPr>
                <w:sz w:val="40"/>
                <w:szCs w:val="40"/>
              </w:rPr>
            </w:pPr>
            <w:r w:rsidRPr="0020181B">
              <w:rPr>
                <w:b/>
                <w:bCs/>
                <w:i/>
                <w:iCs/>
                <w:sz w:val="40"/>
                <w:szCs w:val="40"/>
              </w:rPr>
              <w:t>New International</w:t>
            </w:r>
          </w:p>
        </w:tc>
        <w:tc>
          <w:tcPr>
            <w:tcW w:w="5300" w:type="dxa"/>
            <w:tcBorders>
              <w:top w:val="single" w:sz="8" w:space="0" w:color="000000"/>
              <w:left w:val="single" w:sz="8" w:space="0" w:color="000000"/>
              <w:bottom w:val="single" w:sz="8" w:space="0" w:color="000000"/>
              <w:right w:val="single" w:sz="18" w:space="0" w:color="000000"/>
            </w:tcBorders>
            <w:shd w:val="clear" w:color="auto" w:fill="auto"/>
            <w:tcMar>
              <w:top w:w="73" w:type="dxa"/>
              <w:left w:w="145" w:type="dxa"/>
              <w:bottom w:w="73" w:type="dxa"/>
              <w:right w:w="145" w:type="dxa"/>
            </w:tcMar>
            <w:hideMark/>
          </w:tcPr>
          <w:p w14:paraId="6AB3804F" w14:textId="77777777" w:rsidR="0020181B" w:rsidRPr="0020181B" w:rsidRDefault="0020181B" w:rsidP="0020181B">
            <w:pPr>
              <w:jc w:val="center"/>
              <w:rPr>
                <w:sz w:val="40"/>
                <w:szCs w:val="40"/>
              </w:rPr>
            </w:pPr>
            <w:r w:rsidRPr="0020181B">
              <w:rPr>
                <w:b/>
                <w:bCs/>
                <w:i/>
                <w:iCs/>
                <w:sz w:val="40"/>
                <w:szCs w:val="40"/>
              </w:rPr>
              <w:t>7</w:t>
            </w:r>
          </w:p>
        </w:tc>
      </w:tr>
      <w:tr w:rsidR="0020181B" w:rsidRPr="0020181B" w14:paraId="5E7C734E" w14:textId="77777777" w:rsidTr="0020181B">
        <w:trPr>
          <w:trHeight w:val="893"/>
        </w:trPr>
        <w:tc>
          <w:tcPr>
            <w:tcW w:w="7900" w:type="dxa"/>
            <w:tcBorders>
              <w:top w:val="single" w:sz="8" w:space="0" w:color="000000"/>
              <w:left w:val="single" w:sz="18" w:space="0" w:color="000000"/>
              <w:bottom w:val="single" w:sz="8" w:space="0" w:color="000000"/>
              <w:right w:val="single" w:sz="8" w:space="0" w:color="000000"/>
            </w:tcBorders>
            <w:shd w:val="clear" w:color="auto" w:fill="auto"/>
            <w:tcMar>
              <w:top w:w="73" w:type="dxa"/>
              <w:left w:w="145" w:type="dxa"/>
              <w:bottom w:w="73" w:type="dxa"/>
              <w:right w:w="145" w:type="dxa"/>
            </w:tcMar>
            <w:hideMark/>
          </w:tcPr>
          <w:p w14:paraId="6B525CA9" w14:textId="77777777" w:rsidR="0020181B" w:rsidRPr="0020181B" w:rsidRDefault="0020181B" w:rsidP="0020181B">
            <w:pPr>
              <w:jc w:val="center"/>
              <w:rPr>
                <w:sz w:val="40"/>
                <w:szCs w:val="40"/>
              </w:rPr>
            </w:pPr>
            <w:r w:rsidRPr="0020181B">
              <w:rPr>
                <w:b/>
                <w:bCs/>
                <w:i/>
                <w:iCs/>
                <w:sz w:val="40"/>
                <w:szCs w:val="40"/>
              </w:rPr>
              <w:t>CSB</w:t>
            </w:r>
          </w:p>
        </w:tc>
        <w:tc>
          <w:tcPr>
            <w:tcW w:w="5300" w:type="dxa"/>
            <w:tcBorders>
              <w:top w:val="single" w:sz="8" w:space="0" w:color="000000"/>
              <w:left w:val="single" w:sz="8" w:space="0" w:color="000000"/>
              <w:bottom w:val="single" w:sz="8" w:space="0" w:color="000000"/>
              <w:right w:val="single" w:sz="18" w:space="0" w:color="000000"/>
            </w:tcBorders>
            <w:shd w:val="clear" w:color="auto" w:fill="auto"/>
            <w:tcMar>
              <w:top w:w="73" w:type="dxa"/>
              <w:left w:w="145" w:type="dxa"/>
              <w:bottom w:w="73" w:type="dxa"/>
              <w:right w:w="145" w:type="dxa"/>
            </w:tcMar>
            <w:hideMark/>
          </w:tcPr>
          <w:p w14:paraId="51B9C30C" w14:textId="77777777" w:rsidR="0020181B" w:rsidRPr="0020181B" w:rsidRDefault="0020181B" w:rsidP="0020181B">
            <w:pPr>
              <w:jc w:val="center"/>
              <w:rPr>
                <w:sz w:val="40"/>
                <w:szCs w:val="40"/>
              </w:rPr>
            </w:pPr>
            <w:r w:rsidRPr="0020181B">
              <w:rPr>
                <w:b/>
                <w:bCs/>
                <w:i/>
                <w:iCs/>
                <w:sz w:val="40"/>
                <w:szCs w:val="40"/>
              </w:rPr>
              <w:t>7</w:t>
            </w:r>
          </w:p>
        </w:tc>
      </w:tr>
      <w:tr w:rsidR="0020181B" w:rsidRPr="0020181B" w14:paraId="521B2AD5" w14:textId="77777777" w:rsidTr="0020181B">
        <w:trPr>
          <w:trHeight w:val="783"/>
        </w:trPr>
        <w:tc>
          <w:tcPr>
            <w:tcW w:w="7900" w:type="dxa"/>
            <w:tcBorders>
              <w:top w:val="single" w:sz="8" w:space="0" w:color="000000"/>
              <w:left w:val="single" w:sz="18" w:space="0" w:color="000000"/>
              <w:bottom w:val="single" w:sz="8" w:space="0" w:color="000000"/>
              <w:right w:val="single" w:sz="8" w:space="0" w:color="000000"/>
            </w:tcBorders>
            <w:shd w:val="clear" w:color="auto" w:fill="auto"/>
            <w:tcMar>
              <w:top w:w="73" w:type="dxa"/>
              <w:left w:w="145" w:type="dxa"/>
              <w:bottom w:w="73" w:type="dxa"/>
              <w:right w:w="145" w:type="dxa"/>
            </w:tcMar>
            <w:hideMark/>
          </w:tcPr>
          <w:p w14:paraId="67607045" w14:textId="77777777" w:rsidR="0020181B" w:rsidRPr="0020181B" w:rsidRDefault="0020181B" w:rsidP="0020181B">
            <w:pPr>
              <w:jc w:val="center"/>
              <w:rPr>
                <w:sz w:val="40"/>
                <w:szCs w:val="40"/>
              </w:rPr>
            </w:pPr>
            <w:r w:rsidRPr="0020181B">
              <w:rPr>
                <w:b/>
                <w:bCs/>
                <w:i/>
                <w:iCs/>
                <w:sz w:val="40"/>
                <w:szCs w:val="40"/>
              </w:rPr>
              <w:t>New Living (NLT)</w:t>
            </w:r>
          </w:p>
        </w:tc>
        <w:tc>
          <w:tcPr>
            <w:tcW w:w="5300" w:type="dxa"/>
            <w:tcBorders>
              <w:top w:val="single" w:sz="8" w:space="0" w:color="000000"/>
              <w:left w:val="single" w:sz="8" w:space="0" w:color="000000"/>
              <w:bottom w:val="single" w:sz="8" w:space="0" w:color="000000"/>
              <w:right w:val="single" w:sz="18" w:space="0" w:color="000000"/>
            </w:tcBorders>
            <w:shd w:val="clear" w:color="auto" w:fill="auto"/>
            <w:tcMar>
              <w:top w:w="73" w:type="dxa"/>
              <w:left w:w="145" w:type="dxa"/>
              <w:bottom w:w="73" w:type="dxa"/>
              <w:right w:w="145" w:type="dxa"/>
            </w:tcMar>
            <w:hideMark/>
          </w:tcPr>
          <w:p w14:paraId="79BFE759" w14:textId="77777777" w:rsidR="0020181B" w:rsidRPr="0020181B" w:rsidRDefault="0020181B" w:rsidP="0020181B">
            <w:pPr>
              <w:jc w:val="center"/>
              <w:rPr>
                <w:sz w:val="40"/>
                <w:szCs w:val="40"/>
              </w:rPr>
            </w:pPr>
            <w:r w:rsidRPr="0020181B">
              <w:rPr>
                <w:b/>
                <w:bCs/>
                <w:i/>
                <w:iCs/>
                <w:sz w:val="40"/>
                <w:szCs w:val="40"/>
              </w:rPr>
              <w:t>6</w:t>
            </w:r>
          </w:p>
        </w:tc>
      </w:tr>
      <w:tr w:rsidR="0020181B" w:rsidRPr="0020181B" w14:paraId="44809DFD" w14:textId="77777777" w:rsidTr="0020181B">
        <w:trPr>
          <w:trHeight w:val="940"/>
        </w:trPr>
        <w:tc>
          <w:tcPr>
            <w:tcW w:w="7900" w:type="dxa"/>
            <w:tcBorders>
              <w:top w:val="single" w:sz="8" w:space="0" w:color="000000"/>
              <w:left w:val="single" w:sz="18" w:space="0" w:color="000000"/>
              <w:bottom w:val="single" w:sz="18" w:space="0" w:color="000000"/>
              <w:right w:val="single" w:sz="8" w:space="0" w:color="000000"/>
            </w:tcBorders>
            <w:shd w:val="clear" w:color="auto" w:fill="auto"/>
            <w:tcMar>
              <w:top w:w="73" w:type="dxa"/>
              <w:left w:w="145" w:type="dxa"/>
              <w:bottom w:w="73" w:type="dxa"/>
              <w:right w:w="145" w:type="dxa"/>
            </w:tcMar>
            <w:hideMark/>
          </w:tcPr>
          <w:p w14:paraId="7746FDA0" w14:textId="77777777" w:rsidR="0020181B" w:rsidRPr="0020181B" w:rsidRDefault="0020181B" w:rsidP="0020181B">
            <w:pPr>
              <w:jc w:val="center"/>
              <w:rPr>
                <w:sz w:val="40"/>
                <w:szCs w:val="40"/>
              </w:rPr>
            </w:pPr>
            <w:r w:rsidRPr="0020181B">
              <w:rPr>
                <w:b/>
                <w:bCs/>
                <w:i/>
                <w:iCs/>
                <w:sz w:val="40"/>
                <w:szCs w:val="40"/>
              </w:rPr>
              <w:t xml:space="preserve">Contemporary </w:t>
            </w:r>
            <w:proofErr w:type="spellStart"/>
            <w:r w:rsidRPr="0020181B">
              <w:rPr>
                <w:b/>
                <w:bCs/>
                <w:i/>
                <w:iCs/>
                <w:sz w:val="40"/>
                <w:szCs w:val="40"/>
              </w:rPr>
              <w:t>Eng</w:t>
            </w:r>
            <w:proofErr w:type="spellEnd"/>
          </w:p>
        </w:tc>
        <w:tc>
          <w:tcPr>
            <w:tcW w:w="5300" w:type="dxa"/>
            <w:tcBorders>
              <w:top w:val="single" w:sz="8" w:space="0" w:color="000000"/>
              <w:left w:val="single" w:sz="8" w:space="0" w:color="000000"/>
              <w:bottom w:val="single" w:sz="18" w:space="0" w:color="000000"/>
              <w:right w:val="single" w:sz="18" w:space="0" w:color="000000"/>
            </w:tcBorders>
            <w:shd w:val="clear" w:color="auto" w:fill="auto"/>
            <w:tcMar>
              <w:top w:w="73" w:type="dxa"/>
              <w:left w:w="145" w:type="dxa"/>
              <w:bottom w:w="73" w:type="dxa"/>
              <w:right w:w="145" w:type="dxa"/>
            </w:tcMar>
            <w:hideMark/>
          </w:tcPr>
          <w:p w14:paraId="797CD191" w14:textId="77777777" w:rsidR="0020181B" w:rsidRPr="0020181B" w:rsidRDefault="0020181B" w:rsidP="0020181B">
            <w:pPr>
              <w:jc w:val="center"/>
              <w:rPr>
                <w:sz w:val="40"/>
                <w:szCs w:val="40"/>
              </w:rPr>
            </w:pPr>
            <w:r w:rsidRPr="0020181B">
              <w:rPr>
                <w:b/>
                <w:bCs/>
                <w:i/>
                <w:iCs/>
                <w:sz w:val="40"/>
                <w:szCs w:val="40"/>
              </w:rPr>
              <w:t>5</w:t>
            </w:r>
          </w:p>
        </w:tc>
      </w:tr>
    </w:tbl>
    <w:p w14:paraId="69A2482E" w14:textId="77777777" w:rsidR="00361165" w:rsidRDefault="00361165"/>
    <w:sectPr w:rsidR="00361165" w:rsidSect="0020181B">
      <w:pgSz w:w="15840" w:h="12240" w:orient="landscape"/>
      <w:pgMar w:top="720" w:right="95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165"/>
    <w:rsid w:val="0020181B"/>
    <w:rsid w:val="00361165"/>
    <w:rsid w:val="00595DA7"/>
    <w:rsid w:val="00FC70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95C5A"/>
  <w15:chartTrackingRefBased/>
  <w15:docId w15:val="{328B59E2-B439-418C-A734-9D0DDE838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C703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916808">
      <w:bodyDiv w:val="1"/>
      <w:marLeft w:val="0"/>
      <w:marRight w:val="0"/>
      <w:marTop w:val="0"/>
      <w:marBottom w:val="0"/>
      <w:divBdr>
        <w:top w:val="none" w:sz="0" w:space="0" w:color="auto"/>
        <w:left w:val="none" w:sz="0" w:space="0" w:color="auto"/>
        <w:bottom w:val="none" w:sz="0" w:space="0" w:color="auto"/>
        <w:right w:val="none" w:sz="0" w:space="0" w:color="auto"/>
      </w:divBdr>
    </w:div>
    <w:div w:id="1543441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22</Words>
  <Characters>132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Swartzwelder</dc:creator>
  <cp:keywords/>
  <dc:description/>
  <cp:lastModifiedBy>Tom Swartzwelder</cp:lastModifiedBy>
  <cp:revision>4</cp:revision>
  <dcterms:created xsi:type="dcterms:W3CDTF">2019-09-19T17:03:00Z</dcterms:created>
  <dcterms:modified xsi:type="dcterms:W3CDTF">2019-09-19T18:35:00Z</dcterms:modified>
</cp:coreProperties>
</file>